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C0214" w14:textId="690634AD" w:rsidR="000269B6" w:rsidRDefault="00FC498F" w:rsidP="00023BDA">
      <w:pPr>
        <w:spacing w:line="360" w:lineRule="auto"/>
        <w:rPr>
          <w:rFonts w:ascii="Arial" w:eastAsia="MS Minngs" w:hAnsi="Arial"/>
          <w:b/>
          <w:bCs/>
          <w:kern w:val="0"/>
          <w:sz w:val="22"/>
          <w:szCs w:val="22"/>
          <w:lang w:eastAsia="nl-NL"/>
        </w:rPr>
      </w:pPr>
      <w:bookmarkStart w:id="0" w:name="_GoBack"/>
      <w:bookmarkEnd w:id="0"/>
      <w:r>
        <w:rPr>
          <w:rFonts w:ascii="Arial" w:eastAsia="MS Minngs" w:hAnsi="Arial"/>
          <w:b/>
          <w:bCs/>
          <w:kern w:val="0"/>
          <w:sz w:val="22"/>
          <w:szCs w:val="22"/>
          <w:lang w:eastAsia="nl-NL"/>
        </w:rPr>
        <w:t>Definite p</w:t>
      </w:r>
      <w:r w:rsidR="000269B6">
        <w:rPr>
          <w:rFonts w:ascii="Arial" w:eastAsia="MS Minngs" w:hAnsi="Arial"/>
          <w:b/>
          <w:bCs/>
          <w:kern w:val="0"/>
          <w:sz w:val="22"/>
          <w:szCs w:val="22"/>
          <w:lang w:eastAsia="nl-NL"/>
        </w:rPr>
        <w:t>l</w:t>
      </w:r>
      <w:r>
        <w:rPr>
          <w:rFonts w:ascii="Arial" w:eastAsia="MS Minngs" w:hAnsi="Arial"/>
          <w:b/>
          <w:bCs/>
          <w:kern w:val="0"/>
          <w:sz w:val="22"/>
          <w:szCs w:val="22"/>
          <w:lang w:eastAsia="nl-NL"/>
        </w:rPr>
        <w:t xml:space="preserve">aque </w:t>
      </w:r>
      <w:proofErr w:type="spellStart"/>
      <w:r>
        <w:rPr>
          <w:rFonts w:ascii="Arial" w:eastAsia="MS Minngs" w:hAnsi="Arial"/>
          <w:b/>
          <w:bCs/>
          <w:kern w:val="0"/>
          <w:sz w:val="22"/>
          <w:szCs w:val="22"/>
          <w:lang w:eastAsia="nl-NL"/>
        </w:rPr>
        <w:t>echolucency</w:t>
      </w:r>
      <w:proofErr w:type="spellEnd"/>
      <w:r>
        <w:rPr>
          <w:rFonts w:ascii="Arial" w:eastAsia="MS Minngs" w:hAnsi="Arial"/>
          <w:b/>
          <w:bCs/>
          <w:kern w:val="0"/>
          <w:sz w:val="22"/>
          <w:szCs w:val="22"/>
          <w:lang w:eastAsia="nl-NL"/>
        </w:rPr>
        <w:t xml:space="preserve"> is associated with a higher risk of ipsilateral ischaemic stroke during early follow up in</w:t>
      </w:r>
      <w:r w:rsidR="000269B6">
        <w:rPr>
          <w:rFonts w:ascii="Arial" w:eastAsia="MS Minngs" w:hAnsi="Arial"/>
          <w:b/>
          <w:bCs/>
          <w:kern w:val="0"/>
          <w:sz w:val="22"/>
          <w:szCs w:val="22"/>
          <w:lang w:eastAsia="nl-NL"/>
        </w:rPr>
        <w:t xml:space="preserve"> </w:t>
      </w:r>
      <w:r>
        <w:rPr>
          <w:rFonts w:ascii="Arial" w:eastAsia="MS Minngs" w:hAnsi="Arial"/>
          <w:b/>
          <w:bCs/>
          <w:kern w:val="0"/>
          <w:sz w:val="22"/>
          <w:szCs w:val="22"/>
          <w:lang w:eastAsia="nl-NL"/>
        </w:rPr>
        <w:t>the</w:t>
      </w:r>
      <w:r w:rsidR="000269B6">
        <w:rPr>
          <w:rFonts w:ascii="Arial" w:eastAsia="MS Minngs" w:hAnsi="Arial"/>
          <w:b/>
          <w:bCs/>
          <w:kern w:val="0"/>
          <w:sz w:val="22"/>
          <w:szCs w:val="22"/>
          <w:lang w:eastAsia="nl-NL"/>
        </w:rPr>
        <w:t xml:space="preserve"> Asymptomatic Carotid Surgery Trial-1 (ACST-1)</w:t>
      </w:r>
    </w:p>
    <w:p w14:paraId="0AE88D57" w14:textId="77777777" w:rsidR="00CE037D" w:rsidRDefault="00CE037D" w:rsidP="00023BDA">
      <w:pPr>
        <w:spacing w:line="360" w:lineRule="auto"/>
      </w:pPr>
    </w:p>
    <w:p w14:paraId="1682EE71" w14:textId="143C673A" w:rsidR="000269B6" w:rsidRDefault="000269B6" w:rsidP="00023BDA">
      <w:pPr>
        <w:spacing w:line="360" w:lineRule="auto"/>
        <w:rPr>
          <w:rFonts w:ascii="Arial" w:eastAsia="MS Minngs" w:hAnsi="Arial"/>
          <w:kern w:val="0"/>
          <w:sz w:val="22"/>
          <w:szCs w:val="22"/>
          <w:lang w:eastAsia="nl-NL"/>
        </w:rPr>
      </w:pPr>
      <w:r>
        <w:rPr>
          <w:rFonts w:ascii="Arial" w:eastAsia="MS Minngs" w:hAnsi="Arial"/>
          <w:kern w:val="0"/>
          <w:sz w:val="22"/>
          <w:szCs w:val="22"/>
          <w:lang w:eastAsia="nl-NL"/>
        </w:rPr>
        <w:t>A. Huibers</w:t>
      </w:r>
      <w:r w:rsidRPr="005E0563">
        <w:rPr>
          <w:rFonts w:ascii="Arial" w:eastAsia="MS Minngs" w:hAnsi="Arial"/>
          <w:kern w:val="0"/>
          <w:sz w:val="22"/>
          <w:szCs w:val="22"/>
          <w:vertAlign w:val="superscript"/>
          <w:lang w:eastAsia="nl-NL"/>
        </w:rPr>
        <w:t>1</w:t>
      </w:r>
      <w:proofErr w:type="gramStart"/>
      <w:r w:rsidRPr="005E0563">
        <w:rPr>
          <w:rFonts w:ascii="Arial" w:eastAsia="MS Minngs" w:hAnsi="Arial"/>
          <w:kern w:val="0"/>
          <w:sz w:val="22"/>
          <w:szCs w:val="22"/>
          <w:vertAlign w:val="superscript"/>
          <w:lang w:eastAsia="nl-NL"/>
        </w:rPr>
        <w:t>,3</w:t>
      </w:r>
      <w:proofErr w:type="gramEnd"/>
      <w:r w:rsidRPr="005E0563">
        <w:rPr>
          <w:rFonts w:ascii="Arial" w:eastAsia="MS Minngs" w:hAnsi="Arial"/>
          <w:kern w:val="0"/>
          <w:sz w:val="22"/>
          <w:szCs w:val="22"/>
          <w:vertAlign w:val="superscript"/>
          <w:lang w:eastAsia="nl-NL"/>
        </w:rPr>
        <w:t xml:space="preserve"> </w:t>
      </w:r>
      <w:r>
        <w:rPr>
          <w:rFonts w:ascii="Arial" w:eastAsia="MS Minngs" w:hAnsi="Arial"/>
          <w:kern w:val="0"/>
          <w:sz w:val="22"/>
          <w:szCs w:val="22"/>
          <w:lang w:eastAsia="nl-NL"/>
        </w:rPr>
        <w:t>, G.J. de Borst</w:t>
      </w:r>
      <w:r w:rsidRPr="005E0563">
        <w:rPr>
          <w:rFonts w:ascii="Arial" w:eastAsia="MS Minngs" w:hAnsi="Arial"/>
          <w:kern w:val="0"/>
          <w:sz w:val="22"/>
          <w:szCs w:val="22"/>
          <w:vertAlign w:val="superscript"/>
          <w:lang w:eastAsia="nl-NL"/>
        </w:rPr>
        <w:t>3</w:t>
      </w:r>
      <w:r>
        <w:rPr>
          <w:rFonts w:ascii="Arial" w:eastAsia="MS Minngs" w:hAnsi="Arial"/>
          <w:kern w:val="0"/>
          <w:sz w:val="22"/>
          <w:szCs w:val="22"/>
          <w:lang w:eastAsia="nl-NL"/>
        </w:rPr>
        <w:t>, R. Bulbulia</w:t>
      </w:r>
      <w:r w:rsidRPr="005E0563">
        <w:rPr>
          <w:rFonts w:ascii="Arial" w:eastAsia="MS Minngs" w:hAnsi="Arial"/>
          <w:kern w:val="0"/>
          <w:sz w:val="22"/>
          <w:szCs w:val="22"/>
          <w:vertAlign w:val="superscript"/>
          <w:lang w:eastAsia="nl-NL"/>
        </w:rPr>
        <w:t>2</w:t>
      </w:r>
      <w:r>
        <w:rPr>
          <w:rFonts w:ascii="Arial" w:eastAsia="MS Minngs" w:hAnsi="Arial"/>
          <w:kern w:val="0"/>
          <w:sz w:val="22"/>
          <w:szCs w:val="22"/>
          <w:lang w:eastAsia="nl-NL"/>
        </w:rPr>
        <w:t>, A. Halliday</w:t>
      </w:r>
      <w:r w:rsidRPr="005E0563">
        <w:rPr>
          <w:rFonts w:ascii="Arial" w:eastAsia="MS Minngs" w:hAnsi="Arial"/>
          <w:kern w:val="0"/>
          <w:sz w:val="22"/>
          <w:szCs w:val="22"/>
          <w:vertAlign w:val="superscript"/>
          <w:lang w:eastAsia="nl-NL"/>
        </w:rPr>
        <w:t>1</w:t>
      </w:r>
      <w:r>
        <w:rPr>
          <w:rFonts w:ascii="Arial" w:eastAsia="MS Minngs" w:hAnsi="Arial"/>
          <w:kern w:val="0"/>
          <w:sz w:val="22"/>
          <w:szCs w:val="22"/>
          <w:lang w:eastAsia="nl-NL"/>
        </w:rPr>
        <w:t>, on behalf of ACST-1 collaborative group</w:t>
      </w:r>
    </w:p>
    <w:p w14:paraId="3802227E" w14:textId="77777777" w:rsidR="000269B6" w:rsidRDefault="000269B6" w:rsidP="00023BDA">
      <w:pPr>
        <w:spacing w:line="360" w:lineRule="auto"/>
      </w:pPr>
    </w:p>
    <w:p w14:paraId="44F21384" w14:textId="77777777" w:rsidR="000269B6" w:rsidRDefault="000269B6" w:rsidP="00023BDA">
      <w:pPr>
        <w:spacing w:line="360" w:lineRule="auto"/>
        <w:rPr>
          <w:rFonts w:ascii="Arial" w:eastAsia="MS Minngs" w:hAnsi="Arial" w:cs="Arial"/>
          <w:kern w:val="0"/>
          <w:sz w:val="22"/>
          <w:szCs w:val="22"/>
          <w:lang w:eastAsia="nl-NL"/>
        </w:rPr>
      </w:pPr>
      <w:r w:rsidRPr="00A873DC">
        <w:rPr>
          <w:rFonts w:ascii="Arial" w:eastAsia="MS Minngs" w:hAnsi="Arial" w:cs="Arial"/>
          <w:kern w:val="0"/>
          <w:sz w:val="22"/>
          <w:szCs w:val="22"/>
          <w:vertAlign w:val="superscript"/>
          <w:lang w:eastAsia="nl-NL"/>
        </w:rPr>
        <w:t>1</w:t>
      </w:r>
      <w:r>
        <w:rPr>
          <w:rFonts w:ascii="Arial" w:eastAsia="MS Minngs" w:hAnsi="Arial" w:cs="Arial"/>
          <w:kern w:val="0"/>
          <w:sz w:val="22"/>
          <w:szCs w:val="22"/>
          <w:vertAlign w:val="superscript"/>
          <w:lang w:eastAsia="nl-NL"/>
        </w:rPr>
        <w:t xml:space="preserve"> </w:t>
      </w:r>
      <w:r>
        <w:rPr>
          <w:rFonts w:ascii="Arial" w:eastAsia="MS Minngs" w:hAnsi="Arial" w:cs="Arial"/>
          <w:kern w:val="0"/>
          <w:sz w:val="22"/>
          <w:szCs w:val="22"/>
          <w:lang w:eastAsia="nl-NL"/>
        </w:rPr>
        <w:t xml:space="preserve">Nuffield Department of Surgical Sciences, University of Oxford, Oxford, United Kingdom </w:t>
      </w:r>
    </w:p>
    <w:p w14:paraId="15E37D55" w14:textId="77777777" w:rsidR="000269B6" w:rsidRDefault="000269B6" w:rsidP="00023BDA">
      <w:pPr>
        <w:spacing w:line="360" w:lineRule="auto"/>
        <w:rPr>
          <w:rFonts w:ascii="Arial" w:eastAsia="MS Minngs" w:hAnsi="Arial" w:cs="Arial"/>
          <w:kern w:val="0"/>
          <w:sz w:val="22"/>
          <w:szCs w:val="22"/>
          <w:lang w:eastAsia="nl-NL"/>
        </w:rPr>
      </w:pPr>
      <w:r w:rsidRPr="00A873DC">
        <w:rPr>
          <w:rFonts w:ascii="Arial" w:eastAsia="MS Minngs" w:hAnsi="Arial" w:cs="Arial"/>
          <w:kern w:val="0"/>
          <w:sz w:val="22"/>
          <w:szCs w:val="22"/>
          <w:vertAlign w:val="superscript"/>
          <w:lang w:eastAsia="nl-NL"/>
        </w:rPr>
        <w:t>2</w:t>
      </w:r>
      <w:r>
        <w:rPr>
          <w:rFonts w:ascii="Arial" w:eastAsia="MS Minngs" w:hAnsi="Arial" w:cs="Arial"/>
          <w:kern w:val="0"/>
          <w:sz w:val="22"/>
          <w:szCs w:val="22"/>
          <w:vertAlign w:val="superscript"/>
          <w:lang w:eastAsia="nl-NL"/>
        </w:rPr>
        <w:t xml:space="preserve"> </w:t>
      </w:r>
      <w:r>
        <w:rPr>
          <w:rFonts w:ascii="Arial" w:eastAsia="MS Minngs" w:hAnsi="Arial" w:cs="Arial"/>
          <w:kern w:val="0"/>
          <w:sz w:val="22"/>
          <w:szCs w:val="22"/>
          <w:lang w:eastAsia="nl-NL"/>
        </w:rPr>
        <w:t xml:space="preserve">Clinical Trial Service </w:t>
      </w:r>
      <w:proofErr w:type="gramStart"/>
      <w:r>
        <w:rPr>
          <w:rFonts w:ascii="Arial" w:eastAsia="MS Minngs" w:hAnsi="Arial" w:cs="Arial"/>
          <w:kern w:val="0"/>
          <w:sz w:val="22"/>
          <w:szCs w:val="22"/>
          <w:lang w:eastAsia="nl-NL"/>
        </w:rPr>
        <w:t>Unit</w:t>
      </w:r>
      <w:proofErr w:type="gramEnd"/>
      <w:r>
        <w:rPr>
          <w:rFonts w:ascii="Arial" w:eastAsia="MS Minngs" w:hAnsi="Arial" w:cs="Arial"/>
          <w:kern w:val="0"/>
          <w:sz w:val="22"/>
          <w:szCs w:val="22"/>
          <w:lang w:eastAsia="nl-NL"/>
        </w:rPr>
        <w:t>, University of Oxford, Oxford, United Kingdom</w:t>
      </w:r>
    </w:p>
    <w:p w14:paraId="534BD934" w14:textId="77777777" w:rsidR="000269B6" w:rsidRDefault="000269B6" w:rsidP="00023BDA">
      <w:pPr>
        <w:spacing w:line="360" w:lineRule="auto"/>
        <w:rPr>
          <w:rFonts w:ascii="Arial" w:eastAsia="MS Minngs" w:hAnsi="Arial" w:cs="Arial"/>
          <w:kern w:val="0"/>
          <w:sz w:val="22"/>
          <w:szCs w:val="22"/>
          <w:lang w:eastAsia="nl-NL"/>
        </w:rPr>
      </w:pPr>
      <w:r w:rsidRPr="00A873DC">
        <w:rPr>
          <w:rFonts w:ascii="Arial" w:eastAsia="MS Minngs" w:hAnsi="Arial" w:cs="Arial"/>
          <w:kern w:val="0"/>
          <w:sz w:val="22"/>
          <w:szCs w:val="22"/>
          <w:vertAlign w:val="superscript"/>
          <w:lang w:eastAsia="nl-NL"/>
        </w:rPr>
        <w:t>3</w:t>
      </w:r>
      <w:r>
        <w:rPr>
          <w:rFonts w:ascii="Arial" w:eastAsia="MS Minngs" w:hAnsi="Arial" w:cs="Arial"/>
          <w:kern w:val="0"/>
          <w:sz w:val="22"/>
          <w:szCs w:val="22"/>
          <w:vertAlign w:val="superscript"/>
          <w:lang w:eastAsia="nl-NL"/>
        </w:rPr>
        <w:t xml:space="preserve"> </w:t>
      </w:r>
      <w:proofErr w:type="gramStart"/>
      <w:r>
        <w:rPr>
          <w:rFonts w:ascii="Arial" w:eastAsia="MS Minngs" w:hAnsi="Arial" w:cs="Arial"/>
          <w:kern w:val="0"/>
          <w:sz w:val="22"/>
          <w:szCs w:val="22"/>
          <w:lang w:eastAsia="nl-NL"/>
        </w:rPr>
        <w:t>Department</w:t>
      </w:r>
      <w:proofErr w:type="gramEnd"/>
      <w:r>
        <w:rPr>
          <w:rFonts w:ascii="Arial" w:eastAsia="MS Minngs" w:hAnsi="Arial" w:cs="Arial"/>
          <w:kern w:val="0"/>
          <w:sz w:val="22"/>
          <w:szCs w:val="22"/>
          <w:lang w:eastAsia="nl-NL"/>
        </w:rPr>
        <w:t xml:space="preserve"> of Vascular Surgery, University Medical </w:t>
      </w:r>
      <w:proofErr w:type="spellStart"/>
      <w:r>
        <w:rPr>
          <w:rFonts w:ascii="Arial" w:eastAsia="MS Minngs" w:hAnsi="Arial" w:cs="Arial"/>
          <w:kern w:val="0"/>
          <w:sz w:val="22"/>
          <w:szCs w:val="22"/>
          <w:lang w:eastAsia="nl-NL"/>
        </w:rPr>
        <w:t>Center</w:t>
      </w:r>
      <w:proofErr w:type="spellEnd"/>
      <w:r>
        <w:rPr>
          <w:rFonts w:ascii="Arial" w:eastAsia="MS Minngs" w:hAnsi="Arial" w:cs="Arial"/>
          <w:kern w:val="0"/>
          <w:sz w:val="22"/>
          <w:szCs w:val="22"/>
          <w:lang w:eastAsia="nl-NL"/>
        </w:rPr>
        <w:t>, Utrecht, The Netherlands</w:t>
      </w:r>
    </w:p>
    <w:p w14:paraId="1FD889FE" w14:textId="77777777" w:rsidR="000269B6" w:rsidRDefault="000269B6" w:rsidP="00023BDA">
      <w:pPr>
        <w:spacing w:line="360" w:lineRule="auto"/>
      </w:pPr>
    </w:p>
    <w:p w14:paraId="1BDFF1F9" w14:textId="308F8065" w:rsidR="00F25A4C" w:rsidRDefault="00A00EEA" w:rsidP="00F25A4C">
      <w:pPr>
        <w:widowControl/>
        <w:suppressAutoHyphens w:val="0"/>
        <w:spacing w:after="200" w:line="360" w:lineRule="auto"/>
        <w:rPr>
          <w:rFonts w:ascii="Arial" w:eastAsia="MS Minngs" w:hAnsi="Arial" w:cs="Arial"/>
          <w:bCs/>
          <w:kern w:val="0"/>
          <w:sz w:val="22"/>
          <w:szCs w:val="22"/>
          <w:lang w:eastAsia="nl-NL"/>
        </w:rPr>
      </w:pPr>
      <w:r w:rsidRPr="00A00EEA">
        <w:rPr>
          <w:rFonts w:ascii="Arial" w:hAnsi="Arial" w:cs="Arial"/>
          <w:b/>
          <w:sz w:val="22"/>
          <w:szCs w:val="22"/>
        </w:rPr>
        <w:t>Introduction</w:t>
      </w:r>
      <w:r>
        <w:rPr>
          <w:rFonts w:ascii="Arial" w:hAnsi="Arial" w:cs="Arial"/>
          <w:b/>
          <w:sz w:val="22"/>
          <w:szCs w:val="22"/>
        </w:rPr>
        <w:t>:</w:t>
      </w:r>
      <w:r w:rsidR="00023BDA">
        <w:rPr>
          <w:rFonts w:ascii="Arial" w:hAnsi="Arial" w:cs="Arial"/>
          <w:sz w:val="22"/>
          <w:szCs w:val="22"/>
        </w:rPr>
        <w:t xml:space="preserve"> S</w:t>
      </w:r>
      <w:r w:rsidR="00023BDA" w:rsidRPr="00FA1A57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everal </w:t>
      </w:r>
      <w:r w:rsidR="006368F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carotid </w:t>
      </w:r>
      <w:r w:rsidR="00023BDA" w:rsidRPr="00FA1A57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plaque characte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ristics, including a thin fibrous cap, </w:t>
      </w:r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lipid necrotic core and </w:t>
      </w:r>
      <w:proofErr w:type="spellStart"/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intraplaque</w:t>
      </w:r>
      <w:proofErr w:type="spellEnd"/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haemorrhage, have been suggested as</w:t>
      </w:r>
      <w:r w:rsidR="00023BDA" w:rsidRPr="00FA1A57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potential marker</w:t>
      </w:r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s</w:t>
      </w:r>
      <w:r w:rsidR="00023BDA" w:rsidRPr="00FA1A57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to select patients at high risk for future stroke</w:t>
      </w:r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. 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On</w:t>
      </w:r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ultr</w:t>
      </w:r>
      <w:r w:rsidR="000B46D9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asound, these “high risk” characteristics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</w:t>
      </w:r>
      <w:r w:rsidR="000B46D9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appear </w:t>
      </w:r>
      <w:proofErr w:type="spellStart"/>
      <w:r w:rsidR="000B46D9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echolucent</w:t>
      </w:r>
      <w:proofErr w:type="spellEnd"/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.</w:t>
      </w:r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</w:t>
      </w:r>
      <w:r w:rsidR="00DC1B88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The Asymptomatic Carotid S</w:t>
      </w:r>
      <w:r w:rsidR="00C2328C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urgery Trial-1 (ACST-1) is</w:t>
      </w:r>
      <w:r w:rsidR="00DC1B88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the largest randomised controlled trial comparing carotid endarterectomy (CEA) with deferral of CEA in patients with severe asymptomatic carotid artery stenosis. </w:t>
      </w:r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We aimed to assess whether ultrasound char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acterized plaque echogenicity was</w:t>
      </w:r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a predictor for </w:t>
      </w:r>
      <w:r w:rsidR="00DC1B88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ischaemic </w:t>
      </w:r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stroke in asympto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m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atic patients randomized to 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deferred treatment in</w:t>
      </w:r>
      <w:r w:rsidR="00023BD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</w:t>
      </w:r>
      <w:r w:rsidR="00DC1B88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ACST-1. </w:t>
      </w:r>
    </w:p>
    <w:p w14:paraId="7952B040" w14:textId="297E5644" w:rsidR="00A00EEA" w:rsidRPr="00F25A4C" w:rsidRDefault="00DC1B88" w:rsidP="00F25A4C">
      <w:pPr>
        <w:widowControl/>
        <w:suppressAutoHyphens w:val="0"/>
        <w:spacing w:after="200" w:line="360" w:lineRule="auto"/>
        <w:rPr>
          <w:rFonts w:ascii="Arial" w:eastAsia="MS Minngs" w:hAnsi="Arial" w:cs="Arial"/>
          <w:bCs/>
          <w:kern w:val="0"/>
          <w:sz w:val="22"/>
          <w:szCs w:val="22"/>
          <w:lang w:eastAsia="nl-NL"/>
        </w:rPr>
      </w:pPr>
      <w:r>
        <w:rPr>
          <w:rFonts w:ascii="Arial" w:hAnsi="Arial" w:cs="Arial"/>
          <w:b/>
          <w:sz w:val="22"/>
          <w:szCs w:val="22"/>
        </w:rPr>
        <w:t>Materials/Meth</w:t>
      </w:r>
      <w:r w:rsidR="00A00EEA">
        <w:rPr>
          <w:rFonts w:ascii="Arial" w:hAnsi="Arial" w:cs="Arial"/>
          <w:b/>
          <w:sz w:val="22"/>
          <w:szCs w:val="22"/>
        </w:rPr>
        <w:t>ods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25A4C">
        <w:rPr>
          <w:rFonts w:ascii="Arial" w:hAnsi="Arial" w:cs="Arial"/>
          <w:sz w:val="22"/>
          <w:szCs w:val="22"/>
        </w:rPr>
        <w:t xml:space="preserve">814 </w:t>
      </w:r>
      <w:r>
        <w:rPr>
          <w:rFonts w:ascii="Arial" w:hAnsi="Arial" w:cs="Arial"/>
          <w:sz w:val="22"/>
          <w:szCs w:val="22"/>
        </w:rPr>
        <w:t xml:space="preserve">patients </w:t>
      </w:r>
      <w:r w:rsidR="00FC498F">
        <w:rPr>
          <w:rFonts w:ascii="Arial" w:hAnsi="Arial" w:cs="Arial"/>
          <w:sz w:val="22"/>
          <w:szCs w:val="22"/>
        </w:rPr>
        <w:t>randomized to</w:t>
      </w:r>
      <w:r w:rsidR="004E673F">
        <w:rPr>
          <w:rFonts w:ascii="Arial" w:hAnsi="Arial" w:cs="Arial"/>
          <w:sz w:val="22"/>
          <w:szCs w:val="22"/>
        </w:rPr>
        <w:t xml:space="preserve"> deferred surgery who had baseline plaque assessment confidentially classified as </w:t>
      </w:r>
      <w:proofErr w:type="spellStart"/>
      <w:r w:rsidR="00F25A4C">
        <w:rPr>
          <w:rFonts w:ascii="Arial" w:hAnsi="Arial" w:cs="Arial"/>
          <w:sz w:val="22"/>
          <w:szCs w:val="22"/>
        </w:rPr>
        <w:t>echolucent</w:t>
      </w:r>
      <w:proofErr w:type="spellEnd"/>
      <w:r w:rsidR="00F25A4C">
        <w:rPr>
          <w:rFonts w:ascii="Arial" w:hAnsi="Arial" w:cs="Arial"/>
          <w:sz w:val="22"/>
          <w:szCs w:val="22"/>
        </w:rPr>
        <w:t xml:space="preserve"> (&gt;25% soft plaque) or non-</w:t>
      </w:r>
      <w:proofErr w:type="spellStart"/>
      <w:r w:rsidR="00F25A4C">
        <w:rPr>
          <w:rFonts w:ascii="Arial" w:hAnsi="Arial" w:cs="Arial"/>
          <w:sz w:val="22"/>
          <w:szCs w:val="22"/>
        </w:rPr>
        <w:t>echolucent</w:t>
      </w:r>
      <w:proofErr w:type="spellEnd"/>
      <w:r w:rsidR="00F25A4C">
        <w:rPr>
          <w:rFonts w:ascii="Arial" w:hAnsi="Arial" w:cs="Arial"/>
          <w:sz w:val="22"/>
          <w:szCs w:val="22"/>
        </w:rPr>
        <w:t xml:space="preserve"> (&lt;25% soft plaque)</w:t>
      </w:r>
      <w:r w:rsidR="00FC498F">
        <w:rPr>
          <w:rFonts w:ascii="Arial" w:hAnsi="Arial" w:cs="Arial"/>
          <w:sz w:val="22"/>
          <w:szCs w:val="22"/>
        </w:rPr>
        <w:t xml:space="preserve"> were studied</w:t>
      </w:r>
      <w:r w:rsidR="00F25A4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Kaplan-Meier survival 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curves</w:t>
      </w:r>
      <w:r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were used to calculate cumulative rates of ipsilateral ischaemic stroke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in both groups</w:t>
      </w:r>
      <w:r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. </w:t>
      </w:r>
    </w:p>
    <w:p w14:paraId="7EDA3F8C" w14:textId="0C3D7052" w:rsidR="00FC498F" w:rsidRDefault="00A00EEA" w:rsidP="00FC498F">
      <w:pPr>
        <w:spacing w:line="360" w:lineRule="auto"/>
        <w:rPr>
          <w:rFonts w:ascii="Arial" w:eastAsia="MS Minngs" w:hAnsi="Arial" w:cs="Arial"/>
          <w:bCs/>
          <w:kern w:val="0"/>
          <w:sz w:val="22"/>
          <w:szCs w:val="22"/>
          <w:lang w:eastAsia="nl-NL"/>
        </w:rPr>
      </w:pPr>
      <w:r>
        <w:rPr>
          <w:rFonts w:ascii="Arial" w:hAnsi="Arial" w:cs="Arial"/>
          <w:b/>
          <w:sz w:val="22"/>
          <w:szCs w:val="22"/>
        </w:rPr>
        <w:t>Results</w:t>
      </w:r>
      <w:r w:rsidR="00F25A4C">
        <w:rPr>
          <w:rFonts w:ascii="Arial" w:hAnsi="Arial" w:cs="Arial"/>
          <w:b/>
          <w:sz w:val="22"/>
          <w:szCs w:val="22"/>
        </w:rPr>
        <w:t xml:space="preserve">: </w:t>
      </w:r>
      <w:r w:rsidR="00C2328C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Life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table analysis showed a significant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ly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higher 5-year risk of ipsilateral stroke in patients with 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definite </w:t>
      </w:r>
      <w:proofErr w:type="spellStart"/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echolucent</w:t>
      </w:r>
      <w:proofErr w:type="spellEnd"/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plaques</w:t>
      </w:r>
      <w:r w:rsidR="00C2328C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(8.0%; 95% CI: 6.4 - 9.6)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when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compared to patients with </w:t>
      </w:r>
      <w:r w:rsidR="004E673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definitely 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non-</w:t>
      </w:r>
      <w:proofErr w:type="spellStart"/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echolucent</w:t>
      </w:r>
      <w:proofErr w:type="spellEnd"/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plaques</w:t>
      </w:r>
      <w:r w:rsidR="00C2328C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(3.1%; 2.1 - 4.1)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(</w:t>
      </w:r>
      <w:r w:rsidR="00E23A6E" w:rsidRPr="00572DDC">
        <w:rPr>
          <w:rFonts w:ascii="Arial" w:eastAsia="MS Minngs" w:hAnsi="Arial" w:cs="Arial"/>
          <w:bCs/>
          <w:i/>
          <w:kern w:val="0"/>
          <w:sz w:val="22"/>
          <w:szCs w:val="22"/>
          <w:lang w:eastAsia="nl-NL"/>
        </w:rPr>
        <w:t>p=0.009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).</w:t>
      </w:r>
      <w:r w:rsidR="00C410E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After adjustments of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</w:t>
      </w:r>
      <w:r w:rsidR="00C473D7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other 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risk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factors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,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plaque </w:t>
      </w:r>
      <w:proofErr w:type="spellStart"/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echolucency</w:t>
      </w:r>
      <w:proofErr w:type="spellEnd"/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was 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associated with 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a 2.5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times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increase</w:t>
      </w:r>
      <w:r w:rsidR="000B46D9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d risk of ipsi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l</w:t>
      </w:r>
      <w:r w:rsidR="000B46D9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a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teral 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ischaemic stroke (HR 2.52, 95% CI: 1.20-5.25; </w:t>
      </w:r>
      <w:r w:rsidR="00E23A6E" w:rsidRPr="00CA11F9">
        <w:rPr>
          <w:rFonts w:ascii="Arial" w:eastAsia="MS Minngs" w:hAnsi="Arial" w:cs="Arial"/>
          <w:bCs/>
          <w:i/>
          <w:kern w:val="0"/>
          <w:sz w:val="22"/>
          <w:szCs w:val="22"/>
          <w:lang w:eastAsia="nl-NL"/>
        </w:rPr>
        <w:t>p=0.014</w:t>
      </w:r>
      <w:r w:rsidR="00E23A6E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)</w:t>
      </w:r>
      <w:r w:rsidR="00FD7BD9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. </w:t>
      </w:r>
      <w:r w:rsidR="00CD5C62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The use of lipid lowering therapy was low in both groups during the first 5 years after randomization but rose significantly thereafter and</w:t>
      </w:r>
      <w:r w:rsidR="00C43C6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during the later stages of follow-up,</w:t>
      </w:r>
      <w:r w:rsidR="00CD5C62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</w:t>
      </w:r>
      <w:r w:rsidR="006368F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and </w:t>
      </w:r>
      <w:r w:rsidR="00CD5C62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was more commonly prescribed </w:t>
      </w:r>
      <w:r w:rsidR="00C43C6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in </w:t>
      </w:r>
      <w:r w:rsidR="00CD5C62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patients with </w:t>
      </w:r>
      <w:proofErr w:type="spellStart"/>
      <w:r w:rsidR="00CD5C62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echolucent</w:t>
      </w:r>
      <w:proofErr w:type="spellEnd"/>
      <w:r w:rsidR="00CD5C62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plaques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(</w:t>
      </w:r>
      <w:r w:rsidR="00684064" w:rsidRPr="00684064">
        <w:rPr>
          <w:rFonts w:ascii="Arial" w:eastAsia="MS Minngs" w:hAnsi="Arial" w:cs="Arial"/>
          <w:bCs/>
          <w:i/>
          <w:kern w:val="0"/>
          <w:sz w:val="22"/>
          <w:szCs w:val="22"/>
          <w:lang w:eastAsia="nl-NL"/>
        </w:rPr>
        <w:t>p=0.001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)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. The risk of ipsilateral ischaemic stroke at 10 years was similar for both levels of echogenicity (</w:t>
      </w:r>
      <w:r w:rsidR="00FC498F">
        <w:rPr>
          <w:rFonts w:ascii="Arial" w:eastAsia="MS Minngs" w:hAnsi="Arial" w:cs="Arial"/>
          <w:bCs/>
          <w:i/>
          <w:kern w:val="0"/>
          <w:sz w:val="22"/>
          <w:szCs w:val="22"/>
          <w:lang w:eastAsia="nl-NL"/>
        </w:rPr>
        <w:t xml:space="preserve">p=0.421) 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as was the risk of any stroke at 10 years</w:t>
      </w:r>
      <w:r w:rsidR="00FC498F" w:rsidRPr="0069529E">
        <w:rPr>
          <w:rFonts w:ascii="Arial" w:eastAsia="MS Minngs" w:hAnsi="Arial" w:cs="Arial"/>
          <w:bCs/>
          <w:i/>
          <w:kern w:val="0"/>
          <w:sz w:val="22"/>
          <w:szCs w:val="22"/>
          <w:lang w:eastAsia="nl-NL"/>
        </w:rPr>
        <w:t xml:space="preserve"> </w:t>
      </w:r>
      <w:r w:rsidR="00FC498F">
        <w:rPr>
          <w:rFonts w:ascii="Arial" w:eastAsia="MS Minngs" w:hAnsi="Arial" w:cs="Arial"/>
          <w:bCs/>
          <w:i/>
          <w:kern w:val="0"/>
          <w:sz w:val="22"/>
          <w:szCs w:val="22"/>
          <w:lang w:eastAsia="nl-NL"/>
        </w:rPr>
        <w:t>(</w:t>
      </w:r>
      <w:r w:rsidR="00FC498F" w:rsidRPr="0069529E">
        <w:rPr>
          <w:rFonts w:ascii="Arial" w:eastAsia="MS Minngs" w:hAnsi="Arial" w:cs="Arial"/>
          <w:bCs/>
          <w:i/>
          <w:kern w:val="0"/>
          <w:sz w:val="22"/>
          <w:szCs w:val="22"/>
          <w:lang w:eastAsia="nl-NL"/>
        </w:rPr>
        <w:t>p=0.</w:t>
      </w:r>
      <w:r w:rsidR="00FC498F">
        <w:rPr>
          <w:rFonts w:ascii="Arial" w:eastAsia="MS Minngs" w:hAnsi="Arial" w:cs="Arial"/>
          <w:bCs/>
          <w:i/>
          <w:kern w:val="0"/>
          <w:sz w:val="22"/>
          <w:szCs w:val="22"/>
          <w:lang w:eastAsia="nl-NL"/>
        </w:rPr>
        <w:t>632</w:t>
      </w:r>
      <w:r w:rsidR="00FC498F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). </w:t>
      </w:r>
    </w:p>
    <w:p w14:paraId="74407C6F" w14:textId="548EA199" w:rsidR="00A00EEA" w:rsidRDefault="00A00EEA" w:rsidP="00A00E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9CBD1A" w14:textId="6521EBCE" w:rsidR="00A00EEA" w:rsidRDefault="00FD7BD9" w:rsidP="00A00EE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Conclusion: </w:t>
      </w:r>
      <w:r w:rsidR="00C43C6A">
        <w:rPr>
          <w:rFonts w:ascii="Arial" w:hAnsi="Arial" w:cs="Arial"/>
          <w:sz w:val="22"/>
          <w:szCs w:val="22"/>
        </w:rPr>
        <w:t xml:space="preserve">Definite </w:t>
      </w:r>
      <w:r w:rsidR="00C43C6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p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laque </w:t>
      </w:r>
      <w:proofErr w:type="spellStart"/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echolucency</w:t>
      </w:r>
      <w:proofErr w:type="spellEnd"/>
      <w:r w:rsidR="00C473D7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(&gt;25% soft plaque)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might be a predictor of ipsilateral stroke an</w:t>
      </w:r>
      <w:r w:rsidR="00C60555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d is associated with a higher 5-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year ipsilateral stroke risk in </w:t>
      </w:r>
      <w:r w:rsidR="00C43C6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these trial 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lastRenderedPageBreak/>
        <w:t>patients with asymptomatic carotid d</w:t>
      </w:r>
      <w:r w:rsidR="00C43C6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isease. The similar stroke risk outcomes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at 10 years </w:t>
      </w:r>
      <w:r w:rsidR="00C43C6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for both groups 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co</w:t>
      </w:r>
      <w:r w:rsidR="00C43C6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uld possibly be explained by a higher 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use of l</w:t>
      </w:r>
      <w:r w:rsidR="00C43C6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ipid lowering therapy during later follow-up in </w:t>
      </w:r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patients with </w:t>
      </w:r>
      <w:r w:rsidR="00C43C6A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definite </w:t>
      </w:r>
      <w:proofErr w:type="spellStart"/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>echolucent</w:t>
      </w:r>
      <w:proofErr w:type="spellEnd"/>
      <w:r w:rsidR="00684064">
        <w:rPr>
          <w:rFonts w:ascii="Arial" w:eastAsia="MS Minngs" w:hAnsi="Arial" w:cs="Arial"/>
          <w:bCs/>
          <w:kern w:val="0"/>
          <w:sz w:val="22"/>
          <w:szCs w:val="22"/>
          <w:lang w:eastAsia="nl-NL"/>
        </w:rPr>
        <w:t xml:space="preserve"> plaques.  </w:t>
      </w:r>
    </w:p>
    <w:p w14:paraId="350F52EE" w14:textId="77777777" w:rsidR="00A00EEA" w:rsidRDefault="00A00EEA" w:rsidP="00A00E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ED4F0D" w14:textId="1E13C115" w:rsidR="00A00EEA" w:rsidRPr="00A00EEA" w:rsidRDefault="00A00EEA" w:rsidP="00A00E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A00EEA" w:rsidRPr="00A00EEA" w:rsidSect="00CE03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B6"/>
    <w:rsid w:val="00023BDA"/>
    <w:rsid w:val="000269B6"/>
    <w:rsid w:val="000B46D9"/>
    <w:rsid w:val="00463239"/>
    <w:rsid w:val="004E673F"/>
    <w:rsid w:val="00550EC3"/>
    <w:rsid w:val="006368FA"/>
    <w:rsid w:val="00684064"/>
    <w:rsid w:val="00912328"/>
    <w:rsid w:val="00A00EEA"/>
    <w:rsid w:val="00AA1537"/>
    <w:rsid w:val="00B41C25"/>
    <w:rsid w:val="00C2328C"/>
    <w:rsid w:val="00C410EE"/>
    <w:rsid w:val="00C43C6A"/>
    <w:rsid w:val="00C473D7"/>
    <w:rsid w:val="00C60555"/>
    <w:rsid w:val="00CD5C62"/>
    <w:rsid w:val="00CE037D"/>
    <w:rsid w:val="00DC1B88"/>
    <w:rsid w:val="00E23A6E"/>
    <w:rsid w:val="00F25A4C"/>
    <w:rsid w:val="00FC498F"/>
    <w:rsid w:val="00FD7BD9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90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B6"/>
    <w:pPr>
      <w:widowControl w:val="0"/>
      <w:suppressAutoHyphens/>
    </w:pPr>
    <w:rPr>
      <w:rFonts w:ascii="Times New Roman" w:eastAsia="Calibri" w:hAnsi="Times New Roman" w:cs="Times New Roman"/>
      <w:kern w:val="2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3A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6E"/>
    <w:rPr>
      <w:rFonts w:ascii="Times New Roman" w:eastAsia="Calibri" w:hAnsi="Times New Roman" w:cs="Times New Roman"/>
      <w:kern w:val="2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6E"/>
    <w:rPr>
      <w:rFonts w:ascii="Lucida Grande" w:eastAsia="Calibri" w:hAnsi="Lucida Grande" w:cs="Lucida Grande"/>
      <w:kern w:val="2"/>
      <w:sz w:val="18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B6"/>
    <w:pPr>
      <w:widowControl w:val="0"/>
      <w:suppressAutoHyphens/>
    </w:pPr>
    <w:rPr>
      <w:rFonts w:ascii="Times New Roman" w:eastAsia="Calibri" w:hAnsi="Times New Roman" w:cs="Times New Roman"/>
      <w:kern w:val="2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3A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6E"/>
    <w:rPr>
      <w:rFonts w:ascii="Times New Roman" w:eastAsia="Calibri" w:hAnsi="Times New Roman" w:cs="Times New Roman"/>
      <w:kern w:val="2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6E"/>
    <w:rPr>
      <w:rFonts w:ascii="Lucida Grande" w:eastAsia="Calibri" w:hAnsi="Lucida Grande" w:cs="Lucida Grande"/>
      <w:kern w:val="2"/>
      <w:sz w:val="18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Huibers</dc:creator>
  <cp:lastModifiedBy>Anne Huibers</cp:lastModifiedBy>
  <cp:revision>2</cp:revision>
  <dcterms:created xsi:type="dcterms:W3CDTF">2015-05-05T08:09:00Z</dcterms:created>
  <dcterms:modified xsi:type="dcterms:W3CDTF">2015-05-05T08:09:00Z</dcterms:modified>
</cp:coreProperties>
</file>